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156</w:t>
      </w:r>
    </w:p>
    <w:p>
      <w:r>
        <w:t>Bundesgericht (BGE), 1985-05-06, FR</w:t>
      </w:r>
    </w:p>
    <w:p>
      <w:r>
        <w:rPr>
          <w:b/>
        </w:rPr>
        <w:t xml:space="preserve">Quelle: </w:t>
      </w:r>
      <w:r>
        <w:t>https://mcp.opencaselaw.ch/entscheid/bge_111 V 156</w:t>
      </w:r>
    </w:p>
    <w:p>
      <w:r>
        <w:t>FR: ATF 111 V 156</w:t>
      </w:r>
    </w:p>
    <w:p>
      <w:r>
        <w:t>IT: DTF 111 V 156</w:t>
      </w:r>
    </w:p>
    <w:p>
      <w:pPr>
        <w:pStyle w:val="Heading2"/>
      </w:pPr>
      <w:r>
        <w:t>Regeste</w:t>
      </w:r>
    </w:p>
    <w:p>
      <w:r>
        <w:t>Regeste Art. 54 AlVG, Art. 103 AVIG. Eine Beschwerde kann nicht stillschweigend zurückgezogen werden.</w:t>
      </w:r>
    </w:p>
    <w:p>
      <w:pPr>
        <w:pStyle w:val="Heading2"/>
      </w:pPr>
      <w:r>
        <w:t>Erwägungen</w:t>
      </w:r>
    </w:p>
    <w:p>
      <w:r>
        <w:rPr>
          <w:b/>
        </w:rPr>
        <w:t>E. 3</w:t>
      </w:r>
    </w:p>
    <w:p>
      <w:r>
        <w:t>a) Dans le domaine de l'assurance-chômage, la procédure à suivre devant une autorité cantonale de recours est réglée par les cantons, sous réserve de certaines exigences prescrites par le droit fédéral (voir l' art. 103 LACI et, en ce qui concerne le droit en vigueur jusqu'au 31 décembre 1983, l' art. 54 LAC ). En droit genevois, les règles applicables à la procédure devant la commission cantonale de recours en matière d'assurance-chômage, valables jusqu'au 31 décembre 1983, figuraient dans le règlement d'exécution de la loi sur l'assurance-chômage du 15 juillet 1953. Actuellement, elles sont contenues dans le règlement d'exécution de la loi en matière d'assurance-chômage du 3 décembre 1984 (RS GE J 4 6) BGE 111 V 156 S. 158 et dans la loi instituant un code de procédure administrative du 6 décembre 1968 (RS GE E 3,5 3), à laquelle renvoie l'art. 49 al. 2 dudit règlement. Ces textes ne comportent toutefois pas de réglementation détaillée sur le retrait du recours, l'art. 49 al. 1 de la loi cantonale précitée stipulant uniquement, à cet égard, que "le retrait du recours met fin à la procédure". Il en va d'ailleurs de même en ce qui concerne le droit de procédure fédérale. L'éventualité du retrait du recours n'est pas expressément mentionnée dans la PA. Quant à l'OJ, elle ne règle pas directement la question: l' art. 153 al. 2 OJ prévoit seulement que l'émolument judiciaire est réduit lorsque l'affaire est liquidée par un désistement, auquel le retrait du recours est assimilé (cf. ATF 107 V 248 ); l' art. 73 PCF , applicable en vertu de l' art. 40 OJ , précise que le désistement d'une partie met fin au procès (al. 1) et qu'il a la force exécutoire d'un jugement (al. 4). Dans la pratique, le retrait du recours s'opère par une déclaration du recourant, qui ne peut être conditionnelle et qui est irrévocable, sous réserve d'un vice de la volonté (GRISEL, Traité de droit administratif, p. 937; KÖLZ, Kommentar zum Verwaltungsrechtspflegegesetz des Kantons Zürich, n. 40 ad par. 20; ATF 111 V 58 , ATF 109 V 237 , ATF 105 Ia 115 ). Le plus souvent, une telle déclaration est contenue dans une lettre que le recourant adresse spontanément à l'autorité de recours. Elle peut aussi résulter d'un procès-verbal d'audience ou d'une transaction judiciaire. Il arrive également que l'autorité invite le recourant à retirer son pourvoi en contresignant le double d'une lettre qu'elle lui adresse, notamment lorsqu'elle estime que la cause est dépourvue de chances de succès. b) La juridiction cantonale part de l'idée qu'un recours peut être retiré tacitement, en cas de silence opposé à une lettre par laquelle l'autorité de recours invite l'intéressé à se déterminer sur l'éventualité d'un tel retrait, tout en l'informant des conséquences qu'aurait sa passivité. Cette manière de voir ne peut pas être partagée. L'adage "qui ne dit mot consent", exprimé par l' art. 6 CO , n'a pas une portée aussi étendue en droit public qu'en droit privé (voir GRISEL, op.cit., p. 406; cf. également, en matière d'assurances sociales, RJAM 1982 No 502 p. 200 où le silence opposé par un assuré à une lettre de confirmation d'une caisse-maladie n'a pas été considéré comme une acceptation tacite). Quoi qu'il en soit, la juridiction cantonale a usé d'un procédé qui n'est pas compatible avec le déroulement régulier BGE 111 V 156 S. 159 d'une procédure administrative. Par son recours, François Wirthner avait clairement manifesté son intention d'attaquer la décision du service de l'assurance-chômage du 11 mai 1979. Le dépôt du recours était une condition non seulement nécessaire, mais aussi suffisante pour que l'autorité statue sur le litige qui lui était soumis. En exigeant de la part du recourant qu'il confirme sa volonté de recourir, le président de la juridiction cantonale a, en réalité, fixé une condition supplémentaire, non prévue par la loi, à l'examen du recours au fond, ce qu'il n'était pas en droit de faire, même après une suspension de la procédure qui durait depuis plusieurs années. C'est pourquoi l'inexécution de l'acte de procédure en question ne pouvait être sanctionnée par la radiation de l'affaire du rôle. Cela est d'autant plus vrai en l'occurrence que le recourant n'avait apparemment aucun motif de se désister. Bien au contraire, la convention qu'il avait passée le 30 juin 1983 comportait l'engagement de son ancien employeur de lui verser un salaire jusqu'à fin mars 1979. Ce fait pouvait le conforter dans l'idée que la résiliation avec effet immédiat de son contrat de travail n'était, en partie tout au moins, pas justifiée et la juridiction cantonale devait supposer qu'il avait des raisons encore plus sérieuses de contester la suspension de son droit à l'indemnité de chômage. c) Ainsi donc, il faut considérer que, faute d'en avoir manifesté expressément la volonté, François Wirthner n'a pas retiré le recours qu'il a adressé à la juridiction cantonale. Cela étant, il est superflu d'examiner si, indépendamment de l'absence d'une telle manifestation de volonté, il ne faudrait pas aussi admettre que le recourant a, comme il le prétend, "pris les mesures nécessaires", en demandant au greffe des tribunaux de prud'hommes d'envoyer à la commission cantonale de recours une copie de la convention conclue avec son ancien employeur, à la suite de la lettre du 15 août 1983.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